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606"/>
        <w:gridCol w:w="1428"/>
        <w:gridCol w:w="8432"/>
      </w:tblGrid>
      <w:tr w:rsidR="00C7615A" w:rsidRPr="00B56BC5" w:rsidTr="0083334E">
        <w:tc>
          <w:tcPr>
            <w:tcW w:w="1721" w:type="dxa"/>
          </w:tcPr>
          <w:p w:rsidR="00C7615A" w:rsidRPr="00035734" w:rsidRDefault="00B56BC5" w:rsidP="00D61634">
            <w:pPr>
              <w:spacing w:after="200" w:line="276" w:lineRule="auto"/>
              <w:jc w:val="center"/>
              <w:rPr>
                <w:b/>
                <w:sz w:val="26"/>
                <w:szCs w:val="26"/>
              </w:rPr>
            </w:pPr>
            <w:r>
              <w:rPr>
                <w:b/>
                <w:sz w:val="26"/>
                <w:szCs w:val="26"/>
              </w:rPr>
              <w:t>Number</w:t>
            </w:r>
          </w:p>
        </w:tc>
        <w:tc>
          <w:tcPr>
            <w:tcW w:w="1581" w:type="dxa"/>
          </w:tcPr>
          <w:p w:rsidR="00C7615A" w:rsidRPr="00035734" w:rsidRDefault="00C7615A" w:rsidP="00D61634">
            <w:pPr>
              <w:spacing w:after="200" w:line="276" w:lineRule="auto"/>
              <w:jc w:val="center"/>
              <w:rPr>
                <w:b/>
                <w:sz w:val="26"/>
                <w:szCs w:val="26"/>
              </w:rPr>
            </w:pPr>
            <w:r w:rsidRPr="00035734">
              <w:rPr>
                <w:b/>
                <w:sz w:val="26"/>
                <w:szCs w:val="26"/>
              </w:rPr>
              <w:t>True or False</w:t>
            </w:r>
          </w:p>
        </w:tc>
        <w:tc>
          <w:tcPr>
            <w:tcW w:w="9874" w:type="dxa"/>
          </w:tcPr>
          <w:p w:rsidR="00C7615A" w:rsidRPr="00035734" w:rsidRDefault="00B56BC5" w:rsidP="00B56BC5">
            <w:pPr>
              <w:spacing w:after="200" w:line="276" w:lineRule="auto"/>
              <w:jc w:val="center"/>
              <w:rPr>
                <w:b/>
                <w:sz w:val="26"/>
                <w:szCs w:val="26"/>
              </w:rPr>
            </w:pPr>
            <w:r>
              <w:rPr>
                <w:b/>
                <w:sz w:val="26"/>
                <w:szCs w:val="26"/>
              </w:rPr>
              <w:t>Question</w:t>
            </w:r>
          </w:p>
        </w:tc>
      </w:tr>
      <w:tr w:rsidR="00656D5C" w:rsidTr="0083334E">
        <w:trPr>
          <w:trHeight w:val="720"/>
        </w:trPr>
        <w:tc>
          <w:tcPr>
            <w:tcW w:w="1721" w:type="dxa"/>
            <w:vAlign w:val="center"/>
          </w:tcPr>
          <w:p w:rsidR="00656D5C" w:rsidRDefault="00B56BC5" w:rsidP="00D61634">
            <w:pPr>
              <w:jc w:val="center"/>
              <w:rPr>
                <w:sz w:val="26"/>
                <w:szCs w:val="26"/>
              </w:rPr>
            </w:pPr>
            <w:r>
              <w:rPr>
                <w:sz w:val="26"/>
                <w:szCs w:val="26"/>
              </w:rPr>
              <w:t>1</w:t>
            </w:r>
          </w:p>
        </w:tc>
        <w:tc>
          <w:tcPr>
            <w:tcW w:w="1581" w:type="dxa"/>
            <w:vAlign w:val="center"/>
          </w:tcPr>
          <w:p w:rsidR="00656D5C" w:rsidRDefault="00D61634" w:rsidP="00D61634">
            <w:pPr>
              <w:jc w:val="center"/>
              <w:rPr>
                <w:sz w:val="26"/>
                <w:szCs w:val="26"/>
              </w:rPr>
            </w:pPr>
            <w:r>
              <w:rPr>
                <w:sz w:val="26"/>
                <w:szCs w:val="26"/>
              </w:rPr>
              <w:t>F</w:t>
            </w:r>
          </w:p>
        </w:tc>
        <w:tc>
          <w:tcPr>
            <w:tcW w:w="9874" w:type="dxa"/>
            <w:vAlign w:val="center"/>
          </w:tcPr>
          <w:p w:rsidR="00D61634" w:rsidRPr="005874C9" w:rsidRDefault="00656D5C" w:rsidP="00D61634">
            <w:pPr>
              <w:rPr>
                <w:sz w:val="26"/>
                <w:szCs w:val="26"/>
              </w:rPr>
            </w:pPr>
            <w:r>
              <w:rPr>
                <w:sz w:val="26"/>
                <w:szCs w:val="26"/>
              </w:rPr>
              <w:t xml:space="preserve">The patient is the best source of </w:t>
            </w:r>
            <w:r w:rsidR="001C5555">
              <w:rPr>
                <w:sz w:val="26"/>
                <w:szCs w:val="26"/>
              </w:rPr>
              <w:t xml:space="preserve">WC </w:t>
            </w:r>
            <w:r>
              <w:rPr>
                <w:sz w:val="26"/>
                <w:szCs w:val="26"/>
              </w:rPr>
              <w:t xml:space="preserve">billing/insurance information? </w:t>
            </w:r>
            <w:r w:rsidR="00D61634">
              <w:rPr>
                <w:sz w:val="26"/>
                <w:szCs w:val="26"/>
              </w:rPr>
              <w:t>Unless the patient is receiving ongoing treatment for an established work injury, the patient is not likely to have any information regarding WC billing/insurance information.</w:t>
            </w:r>
          </w:p>
        </w:tc>
      </w:tr>
      <w:tr w:rsidR="00C7615A" w:rsidTr="0083334E">
        <w:trPr>
          <w:trHeight w:val="720"/>
        </w:trPr>
        <w:tc>
          <w:tcPr>
            <w:tcW w:w="1721" w:type="dxa"/>
            <w:vAlign w:val="center"/>
          </w:tcPr>
          <w:p w:rsidR="00C7615A" w:rsidRPr="005874C9" w:rsidRDefault="00B56BC5" w:rsidP="00D61634">
            <w:pPr>
              <w:jc w:val="center"/>
              <w:rPr>
                <w:sz w:val="26"/>
                <w:szCs w:val="26"/>
              </w:rPr>
            </w:pPr>
            <w:r>
              <w:rPr>
                <w:sz w:val="26"/>
                <w:szCs w:val="26"/>
              </w:rPr>
              <w:t>2</w:t>
            </w:r>
          </w:p>
        </w:tc>
        <w:tc>
          <w:tcPr>
            <w:tcW w:w="1581" w:type="dxa"/>
            <w:vAlign w:val="center"/>
          </w:tcPr>
          <w:p w:rsidR="00C7615A" w:rsidRPr="005874C9" w:rsidRDefault="007E3D62" w:rsidP="00D61634">
            <w:pPr>
              <w:jc w:val="center"/>
              <w:rPr>
                <w:sz w:val="26"/>
                <w:szCs w:val="26"/>
              </w:rPr>
            </w:pPr>
            <w:r>
              <w:rPr>
                <w:sz w:val="26"/>
                <w:szCs w:val="26"/>
              </w:rPr>
              <w:t>T</w:t>
            </w:r>
          </w:p>
        </w:tc>
        <w:tc>
          <w:tcPr>
            <w:tcW w:w="9874" w:type="dxa"/>
            <w:vAlign w:val="center"/>
          </w:tcPr>
          <w:p w:rsidR="00C7615A" w:rsidRPr="005874C9" w:rsidRDefault="001750CE" w:rsidP="002962A9">
            <w:pPr>
              <w:rPr>
                <w:sz w:val="26"/>
                <w:szCs w:val="26"/>
              </w:rPr>
            </w:pPr>
            <w:r>
              <w:rPr>
                <w:sz w:val="26"/>
                <w:szCs w:val="26"/>
              </w:rPr>
              <w:t xml:space="preserve">A patient hurt on the job has the right to refuse to make a WC claim? </w:t>
            </w:r>
            <w:r w:rsidR="002962A9" w:rsidRPr="002962A9">
              <w:rPr>
                <w:sz w:val="26"/>
                <w:szCs w:val="26"/>
              </w:rPr>
              <w:t xml:space="preserve">A patient injured at work always retains the right not to file a claim with his/her employer.  In such cases, the M-1 form is not required and the patient is 100% responsible for the payment.  The bill may not be submitted to the patient’s health insurer (if any). </w:t>
            </w:r>
          </w:p>
        </w:tc>
      </w:tr>
      <w:tr w:rsidR="00B56BC5" w:rsidTr="0083334E">
        <w:trPr>
          <w:trHeight w:val="720"/>
        </w:trPr>
        <w:tc>
          <w:tcPr>
            <w:tcW w:w="1721" w:type="dxa"/>
            <w:vAlign w:val="center"/>
          </w:tcPr>
          <w:p w:rsidR="00B56BC5" w:rsidRPr="005874C9" w:rsidRDefault="00B56BC5" w:rsidP="00D61634">
            <w:pPr>
              <w:jc w:val="center"/>
              <w:rPr>
                <w:sz w:val="26"/>
                <w:szCs w:val="26"/>
              </w:rPr>
            </w:pPr>
            <w:r>
              <w:rPr>
                <w:sz w:val="26"/>
                <w:szCs w:val="26"/>
              </w:rPr>
              <w:t>3</w:t>
            </w:r>
          </w:p>
        </w:tc>
        <w:tc>
          <w:tcPr>
            <w:tcW w:w="1581" w:type="dxa"/>
            <w:vAlign w:val="center"/>
          </w:tcPr>
          <w:p w:rsidR="00B56BC5" w:rsidRDefault="007E3D62" w:rsidP="00D61634">
            <w:pPr>
              <w:jc w:val="center"/>
              <w:rPr>
                <w:sz w:val="26"/>
                <w:szCs w:val="26"/>
              </w:rPr>
            </w:pPr>
            <w:r>
              <w:rPr>
                <w:sz w:val="26"/>
                <w:szCs w:val="26"/>
              </w:rPr>
              <w:t>F</w:t>
            </w:r>
          </w:p>
        </w:tc>
        <w:tc>
          <w:tcPr>
            <w:tcW w:w="9874" w:type="dxa"/>
            <w:vAlign w:val="center"/>
          </w:tcPr>
          <w:p w:rsidR="00B56BC5" w:rsidRPr="005874C9" w:rsidRDefault="00B56BC5" w:rsidP="002962A9">
            <w:pPr>
              <w:rPr>
                <w:sz w:val="26"/>
                <w:szCs w:val="26"/>
              </w:rPr>
            </w:pPr>
            <w:r>
              <w:rPr>
                <w:sz w:val="26"/>
                <w:szCs w:val="26"/>
              </w:rPr>
              <w:t>Certain treatments such as acupuncture and massage therapy require pre-authorization?</w:t>
            </w:r>
            <w:r w:rsidR="007E3D62">
              <w:rPr>
                <w:sz w:val="26"/>
                <w:szCs w:val="26"/>
              </w:rPr>
              <w:t xml:space="preserve">  There are no pre-authorization requirements and the ER/IR may not require pre-authorization as a condition of payment.</w:t>
            </w:r>
          </w:p>
        </w:tc>
      </w:tr>
      <w:tr w:rsidR="00B56BC5" w:rsidTr="0083334E">
        <w:trPr>
          <w:trHeight w:val="720"/>
        </w:trPr>
        <w:tc>
          <w:tcPr>
            <w:tcW w:w="1721" w:type="dxa"/>
            <w:vAlign w:val="center"/>
          </w:tcPr>
          <w:p w:rsidR="00B56BC5" w:rsidRPr="005874C9" w:rsidRDefault="00B56BC5" w:rsidP="00D61634">
            <w:pPr>
              <w:jc w:val="center"/>
              <w:rPr>
                <w:sz w:val="26"/>
                <w:szCs w:val="26"/>
              </w:rPr>
            </w:pPr>
            <w:r>
              <w:rPr>
                <w:sz w:val="26"/>
                <w:szCs w:val="26"/>
              </w:rPr>
              <w:t>4</w:t>
            </w:r>
          </w:p>
        </w:tc>
        <w:tc>
          <w:tcPr>
            <w:tcW w:w="1581" w:type="dxa"/>
            <w:vAlign w:val="center"/>
          </w:tcPr>
          <w:p w:rsidR="00B56BC5" w:rsidRDefault="007E3D62" w:rsidP="00D61634">
            <w:pPr>
              <w:jc w:val="center"/>
              <w:rPr>
                <w:sz w:val="26"/>
                <w:szCs w:val="26"/>
              </w:rPr>
            </w:pPr>
            <w:r>
              <w:rPr>
                <w:sz w:val="26"/>
                <w:szCs w:val="26"/>
              </w:rPr>
              <w:t>F</w:t>
            </w:r>
          </w:p>
        </w:tc>
        <w:tc>
          <w:tcPr>
            <w:tcW w:w="9874" w:type="dxa"/>
            <w:vAlign w:val="center"/>
          </w:tcPr>
          <w:p w:rsidR="00B56BC5" w:rsidRPr="005874C9" w:rsidRDefault="00DF4143" w:rsidP="002962A9">
            <w:pPr>
              <w:rPr>
                <w:sz w:val="26"/>
                <w:szCs w:val="26"/>
              </w:rPr>
            </w:pPr>
            <w:r>
              <w:rPr>
                <w:sz w:val="26"/>
                <w:szCs w:val="26"/>
              </w:rPr>
              <w:t>Physical therapists may not complete the diagnostic medical report?</w:t>
            </w:r>
            <w:r w:rsidR="002962A9">
              <w:t xml:space="preserve"> </w:t>
            </w:r>
            <w:r w:rsidR="002962A9" w:rsidRPr="002962A9">
              <w:rPr>
                <w:sz w:val="26"/>
                <w:szCs w:val="26"/>
              </w:rPr>
              <w:t>Health care providers must complete the M-1 form in accordance with 39­A M.R.S.A. §208.The definition of a health care provider is an individual, group of individuals, or facility licensed, registered, or certified and practicing within the scope of the health care provider’s license, registration or certification</w:t>
            </w:r>
            <w:r w:rsidR="002962A9">
              <w:rPr>
                <w:sz w:val="26"/>
                <w:szCs w:val="26"/>
              </w:rPr>
              <w:t>; this definition includes physical therapists and all other providers that meet the definition</w:t>
            </w:r>
            <w:r w:rsidR="002962A9" w:rsidRPr="002962A9">
              <w:rPr>
                <w:sz w:val="26"/>
                <w:szCs w:val="26"/>
              </w:rPr>
              <w:t xml:space="preserve">.  </w:t>
            </w:r>
          </w:p>
        </w:tc>
      </w:tr>
      <w:tr w:rsidR="00DF4143" w:rsidTr="0083334E">
        <w:trPr>
          <w:trHeight w:val="720"/>
        </w:trPr>
        <w:tc>
          <w:tcPr>
            <w:tcW w:w="1721" w:type="dxa"/>
            <w:vAlign w:val="center"/>
          </w:tcPr>
          <w:p w:rsidR="00DF4143" w:rsidRPr="005874C9" w:rsidRDefault="00DF4143" w:rsidP="00D61634">
            <w:pPr>
              <w:jc w:val="center"/>
              <w:rPr>
                <w:sz w:val="26"/>
                <w:szCs w:val="26"/>
              </w:rPr>
            </w:pPr>
            <w:r>
              <w:rPr>
                <w:sz w:val="26"/>
                <w:szCs w:val="26"/>
              </w:rPr>
              <w:t>5</w:t>
            </w:r>
          </w:p>
        </w:tc>
        <w:tc>
          <w:tcPr>
            <w:tcW w:w="1581" w:type="dxa"/>
            <w:vAlign w:val="center"/>
          </w:tcPr>
          <w:p w:rsidR="00DF4143" w:rsidRDefault="002962A9" w:rsidP="00D61634">
            <w:pPr>
              <w:jc w:val="center"/>
              <w:rPr>
                <w:sz w:val="26"/>
                <w:szCs w:val="26"/>
              </w:rPr>
            </w:pPr>
            <w:r>
              <w:rPr>
                <w:sz w:val="26"/>
                <w:szCs w:val="26"/>
              </w:rPr>
              <w:t>T</w:t>
            </w:r>
          </w:p>
        </w:tc>
        <w:tc>
          <w:tcPr>
            <w:tcW w:w="9874" w:type="dxa"/>
            <w:vAlign w:val="center"/>
          </w:tcPr>
          <w:p w:rsidR="00DF4143" w:rsidRPr="005874C9" w:rsidRDefault="00DF4143" w:rsidP="00074D74">
            <w:pPr>
              <w:rPr>
                <w:sz w:val="26"/>
                <w:szCs w:val="26"/>
              </w:rPr>
            </w:pPr>
            <w:r w:rsidRPr="005874C9">
              <w:rPr>
                <w:sz w:val="26"/>
                <w:szCs w:val="26"/>
              </w:rPr>
              <w:t xml:space="preserve">Providers </w:t>
            </w:r>
            <w:r>
              <w:rPr>
                <w:sz w:val="26"/>
                <w:szCs w:val="26"/>
              </w:rPr>
              <w:t>may be</w:t>
            </w:r>
            <w:r w:rsidRPr="005874C9">
              <w:rPr>
                <w:sz w:val="26"/>
                <w:szCs w:val="26"/>
              </w:rPr>
              <w:t xml:space="preserve"> subject to </w:t>
            </w:r>
            <w:r>
              <w:rPr>
                <w:sz w:val="26"/>
                <w:szCs w:val="26"/>
              </w:rPr>
              <w:t>fines up to $10,000</w:t>
            </w:r>
            <w:r w:rsidRPr="005874C9">
              <w:rPr>
                <w:sz w:val="26"/>
                <w:szCs w:val="26"/>
              </w:rPr>
              <w:t xml:space="preserve"> if they are not utilizing the prescribed M-1 Form?</w:t>
            </w:r>
            <w:r w:rsidR="002962A9">
              <w:rPr>
                <w:sz w:val="26"/>
                <w:szCs w:val="26"/>
              </w:rPr>
              <w:t xml:space="preserve">  Providers may be subject to fines under 39-A </w:t>
            </w:r>
            <w:r w:rsidR="002962A9" w:rsidRPr="002962A9">
              <w:rPr>
                <w:sz w:val="26"/>
                <w:szCs w:val="26"/>
              </w:rPr>
              <w:t>§§</w:t>
            </w:r>
            <w:r w:rsidR="002962A9">
              <w:rPr>
                <w:sz w:val="26"/>
                <w:szCs w:val="26"/>
              </w:rPr>
              <w:t xml:space="preserve"> 208 and 360.  This includes fines up to $10,000 for willful violations of the Act.</w:t>
            </w:r>
          </w:p>
        </w:tc>
      </w:tr>
      <w:tr w:rsidR="00DF4143" w:rsidTr="0083334E">
        <w:trPr>
          <w:trHeight w:val="70"/>
        </w:trPr>
        <w:tc>
          <w:tcPr>
            <w:tcW w:w="1721" w:type="dxa"/>
            <w:vAlign w:val="center"/>
          </w:tcPr>
          <w:p w:rsidR="00DF4143" w:rsidRPr="005874C9" w:rsidRDefault="00D71109" w:rsidP="00D61634">
            <w:pPr>
              <w:jc w:val="center"/>
              <w:rPr>
                <w:sz w:val="26"/>
                <w:szCs w:val="26"/>
              </w:rPr>
            </w:pPr>
            <w:r>
              <w:rPr>
                <w:sz w:val="26"/>
                <w:szCs w:val="26"/>
              </w:rPr>
              <w:t>6</w:t>
            </w:r>
          </w:p>
        </w:tc>
        <w:tc>
          <w:tcPr>
            <w:tcW w:w="1581" w:type="dxa"/>
            <w:vAlign w:val="center"/>
          </w:tcPr>
          <w:p w:rsidR="00DF4143" w:rsidRPr="005874C9" w:rsidRDefault="002962A9" w:rsidP="00D61634">
            <w:pPr>
              <w:jc w:val="center"/>
              <w:rPr>
                <w:sz w:val="26"/>
                <w:szCs w:val="26"/>
              </w:rPr>
            </w:pPr>
            <w:r>
              <w:rPr>
                <w:sz w:val="26"/>
                <w:szCs w:val="26"/>
              </w:rPr>
              <w:t>F</w:t>
            </w:r>
          </w:p>
        </w:tc>
        <w:tc>
          <w:tcPr>
            <w:tcW w:w="9874" w:type="dxa"/>
            <w:vAlign w:val="center"/>
          </w:tcPr>
          <w:p w:rsidR="00DF4143" w:rsidRPr="005874C9" w:rsidRDefault="00DF4143" w:rsidP="00A05F3D">
            <w:pPr>
              <w:rPr>
                <w:sz w:val="26"/>
                <w:szCs w:val="26"/>
              </w:rPr>
            </w:pPr>
            <w:r>
              <w:rPr>
                <w:sz w:val="26"/>
                <w:szCs w:val="26"/>
              </w:rPr>
              <w:t>There is a 120 day timely filing limit for workers’ compensation claims?</w:t>
            </w:r>
            <w:r w:rsidR="002962A9">
              <w:t xml:space="preserve"> </w:t>
            </w:r>
            <w:r w:rsidR="002962A9" w:rsidRPr="002962A9">
              <w:rPr>
                <w:sz w:val="26"/>
                <w:szCs w:val="26"/>
              </w:rPr>
              <w:t>An employer/insurer cannot put a time limit on the submission of workers’ compensation bills.  The time for filing petitions is go</w:t>
            </w:r>
            <w:r w:rsidR="002962A9">
              <w:rPr>
                <w:sz w:val="26"/>
                <w:szCs w:val="26"/>
              </w:rPr>
              <w:t xml:space="preserve">verned by </w:t>
            </w:r>
            <w:r w:rsidR="00A05F3D">
              <w:rPr>
                <w:sz w:val="26"/>
                <w:szCs w:val="26"/>
              </w:rPr>
              <w:t>Act</w:t>
            </w:r>
            <w:r w:rsidR="002962A9">
              <w:rPr>
                <w:sz w:val="26"/>
                <w:szCs w:val="26"/>
              </w:rPr>
              <w:t xml:space="preserve"> § 306.</w:t>
            </w:r>
          </w:p>
        </w:tc>
      </w:tr>
      <w:tr w:rsidR="00DF4143" w:rsidTr="0083334E">
        <w:trPr>
          <w:trHeight w:val="720"/>
        </w:trPr>
        <w:tc>
          <w:tcPr>
            <w:tcW w:w="1721" w:type="dxa"/>
            <w:vAlign w:val="center"/>
          </w:tcPr>
          <w:p w:rsidR="00DF4143" w:rsidRPr="005874C9" w:rsidRDefault="00D71109" w:rsidP="00D61634">
            <w:pPr>
              <w:jc w:val="center"/>
              <w:rPr>
                <w:sz w:val="26"/>
                <w:szCs w:val="26"/>
              </w:rPr>
            </w:pPr>
            <w:r>
              <w:rPr>
                <w:sz w:val="26"/>
                <w:szCs w:val="26"/>
              </w:rPr>
              <w:t>7</w:t>
            </w:r>
          </w:p>
        </w:tc>
        <w:tc>
          <w:tcPr>
            <w:tcW w:w="1581" w:type="dxa"/>
            <w:vAlign w:val="center"/>
          </w:tcPr>
          <w:p w:rsidR="00DF4143" w:rsidRPr="005874C9" w:rsidRDefault="002962A9" w:rsidP="00D61634">
            <w:pPr>
              <w:jc w:val="center"/>
              <w:rPr>
                <w:sz w:val="26"/>
                <w:szCs w:val="26"/>
              </w:rPr>
            </w:pPr>
            <w:r>
              <w:rPr>
                <w:sz w:val="26"/>
                <w:szCs w:val="26"/>
              </w:rPr>
              <w:t>F</w:t>
            </w:r>
          </w:p>
        </w:tc>
        <w:tc>
          <w:tcPr>
            <w:tcW w:w="9874" w:type="dxa"/>
            <w:vAlign w:val="center"/>
          </w:tcPr>
          <w:p w:rsidR="00DF4143" w:rsidRDefault="00DF4143" w:rsidP="00074D74">
            <w:pPr>
              <w:rPr>
                <w:sz w:val="26"/>
                <w:szCs w:val="26"/>
              </w:rPr>
            </w:pPr>
            <w:r>
              <w:rPr>
                <w:sz w:val="26"/>
                <w:szCs w:val="26"/>
              </w:rPr>
              <w:t>Professional fees must be billed on CMS Form-1500?</w:t>
            </w:r>
            <w:r w:rsidR="002962A9">
              <w:rPr>
                <w:sz w:val="26"/>
                <w:szCs w:val="26"/>
              </w:rPr>
              <w:t xml:space="preserve">  There is no </w:t>
            </w:r>
            <w:r w:rsidR="00573CF6">
              <w:rPr>
                <w:sz w:val="26"/>
                <w:szCs w:val="26"/>
              </w:rPr>
              <w:t>prescribed billing form for professional fees.  In addition, for dates of service after 10/1/15, there is no requirement for professional fees to be billed separately from facility fees.  Professional fees are reimbursed in accordance with Section 2/Appendix II regardless of what form they are billed on.</w:t>
            </w:r>
          </w:p>
        </w:tc>
      </w:tr>
      <w:tr w:rsidR="000A63CD" w:rsidTr="0083334E">
        <w:trPr>
          <w:trHeight w:val="720"/>
        </w:trPr>
        <w:tc>
          <w:tcPr>
            <w:tcW w:w="1721" w:type="dxa"/>
            <w:vAlign w:val="center"/>
          </w:tcPr>
          <w:p w:rsidR="000A63CD" w:rsidRDefault="00D71109" w:rsidP="0021310A">
            <w:pPr>
              <w:jc w:val="center"/>
              <w:rPr>
                <w:sz w:val="26"/>
                <w:szCs w:val="26"/>
              </w:rPr>
            </w:pPr>
            <w:r>
              <w:rPr>
                <w:sz w:val="26"/>
                <w:szCs w:val="26"/>
              </w:rPr>
              <w:t>8</w:t>
            </w:r>
          </w:p>
        </w:tc>
        <w:tc>
          <w:tcPr>
            <w:tcW w:w="1581" w:type="dxa"/>
            <w:vAlign w:val="center"/>
          </w:tcPr>
          <w:p w:rsidR="000A63CD" w:rsidRDefault="0062355A" w:rsidP="00D61634">
            <w:pPr>
              <w:jc w:val="center"/>
              <w:rPr>
                <w:sz w:val="26"/>
                <w:szCs w:val="26"/>
              </w:rPr>
            </w:pPr>
            <w:r>
              <w:rPr>
                <w:sz w:val="26"/>
                <w:szCs w:val="26"/>
              </w:rPr>
              <w:t>F</w:t>
            </w:r>
          </w:p>
        </w:tc>
        <w:tc>
          <w:tcPr>
            <w:tcW w:w="9874" w:type="dxa"/>
            <w:vAlign w:val="center"/>
          </w:tcPr>
          <w:p w:rsidR="000A63CD" w:rsidRDefault="000A63CD" w:rsidP="000A63CD">
            <w:pPr>
              <w:rPr>
                <w:sz w:val="26"/>
                <w:szCs w:val="26"/>
              </w:rPr>
            </w:pPr>
            <w:r>
              <w:rPr>
                <w:sz w:val="26"/>
                <w:szCs w:val="26"/>
              </w:rPr>
              <w:t xml:space="preserve">Providers must supply invoices for </w:t>
            </w:r>
            <w:proofErr w:type="spellStart"/>
            <w:r>
              <w:rPr>
                <w:sz w:val="26"/>
                <w:szCs w:val="26"/>
              </w:rPr>
              <w:t>implantables</w:t>
            </w:r>
            <w:proofErr w:type="spellEnd"/>
            <w:r>
              <w:rPr>
                <w:sz w:val="26"/>
                <w:szCs w:val="26"/>
              </w:rPr>
              <w:t xml:space="preserve"> that exceed the amount of the applicable threshold?  Providers </w:t>
            </w:r>
            <w:r w:rsidRPr="000A63CD">
              <w:rPr>
                <w:sz w:val="26"/>
                <w:szCs w:val="26"/>
              </w:rPr>
              <w:t xml:space="preserve">may seek additional reimbursement </w:t>
            </w:r>
            <w:r>
              <w:rPr>
                <w:sz w:val="26"/>
                <w:szCs w:val="26"/>
              </w:rPr>
              <w:t xml:space="preserve">for </w:t>
            </w:r>
            <w:proofErr w:type="spellStart"/>
            <w:r>
              <w:rPr>
                <w:sz w:val="26"/>
                <w:szCs w:val="26"/>
              </w:rPr>
              <w:t>implantables</w:t>
            </w:r>
            <w:proofErr w:type="spellEnd"/>
            <w:r>
              <w:rPr>
                <w:sz w:val="26"/>
                <w:szCs w:val="26"/>
              </w:rPr>
              <w:t xml:space="preserve"> that exceed the amount of the applicable threshold</w:t>
            </w:r>
            <w:r w:rsidRPr="000A63CD">
              <w:rPr>
                <w:sz w:val="26"/>
                <w:szCs w:val="26"/>
              </w:rPr>
              <w:t xml:space="preserve"> by submitting a copy of the invoice(s) along with the </w:t>
            </w:r>
            <w:proofErr w:type="gramStart"/>
            <w:r w:rsidRPr="000A63CD">
              <w:rPr>
                <w:sz w:val="26"/>
                <w:szCs w:val="26"/>
              </w:rPr>
              <w:t>bill</w:t>
            </w:r>
            <w:r>
              <w:rPr>
                <w:sz w:val="26"/>
                <w:szCs w:val="26"/>
              </w:rPr>
              <w:t>,</w:t>
            </w:r>
            <w:proofErr w:type="gramEnd"/>
            <w:r>
              <w:rPr>
                <w:sz w:val="26"/>
                <w:szCs w:val="26"/>
              </w:rPr>
              <w:t xml:space="preserve"> however, it is not always advantageous to seek additional reimbursement for </w:t>
            </w:r>
            <w:proofErr w:type="spellStart"/>
            <w:r w:rsidR="0062355A">
              <w:rPr>
                <w:sz w:val="26"/>
                <w:szCs w:val="26"/>
              </w:rPr>
              <w:t>implantables</w:t>
            </w:r>
            <w:proofErr w:type="spellEnd"/>
            <w:r>
              <w:rPr>
                <w:sz w:val="26"/>
                <w:szCs w:val="26"/>
              </w:rPr>
              <w:t xml:space="preserve"> as it may actually reduce payment to the provider.</w:t>
            </w:r>
          </w:p>
        </w:tc>
      </w:tr>
      <w:tr w:rsidR="000A63CD" w:rsidTr="0083334E">
        <w:trPr>
          <w:trHeight w:val="512"/>
        </w:trPr>
        <w:tc>
          <w:tcPr>
            <w:tcW w:w="1721" w:type="dxa"/>
            <w:vAlign w:val="center"/>
          </w:tcPr>
          <w:p w:rsidR="000A63CD" w:rsidRDefault="00D71109" w:rsidP="0021310A">
            <w:pPr>
              <w:jc w:val="center"/>
              <w:rPr>
                <w:sz w:val="26"/>
                <w:szCs w:val="26"/>
              </w:rPr>
            </w:pPr>
            <w:r>
              <w:rPr>
                <w:sz w:val="26"/>
                <w:szCs w:val="26"/>
              </w:rPr>
              <w:t>9</w:t>
            </w:r>
          </w:p>
        </w:tc>
        <w:tc>
          <w:tcPr>
            <w:tcW w:w="1581" w:type="dxa"/>
            <w:vAlign w:val="center"/>
          </w:tcPr>
          <w:p w:rsidR="000A63CD" w:rsidRPr="005874C9" w:rsidRDefault="000A63CD" w:rsidP="00D61634">
            <w:pPr>
              <w:jc w:val="center"/>
              <w:rPr>
                <w:sz w:val="26"/>
                <w:szCs w:val="26"/>
              </w:rPr>
            </w:pPr>
            <w:r>
              <w:rPr>
                <w:sz w:val="26"/>
                <w:szCs w:val="26"/>
              </w:rPr>
              <w:t>T</w:t>
            </w:r>
          </w:p>
        </w:tc>
        <w:tc>
          <w:tcPr>
            <w:tcW w:w="9874" w:type="dxa"/>
            <w:vAlign w:val="center"/>
          </w:tcPr>
          <w:p w:rsidR="000A63CD" w:rsidRPr="005874C9" w:rsidRDefault="000A63CD" w:rsidP="00D71109">
            <w:pPr>
              <w:rPr>
                <w:sz w:val="26"/>
                <w:szCs w:val="26"/>
              </w:rPr>
            </w:pPr>
            <w:r>
              <w:rPr>
                <w:sz w:val="26"/>
                <w:szCs w:val="26"/>
              </w:rPr>
              <w:t>Critical access hospitals are paid by DRG for inpatient facility charges</w:t>
            </w:r>
            <w:r w:rsidR="00D71109">
              <w:rPr>
                <w:sz w:val="26"/>
                <w:szCs w:val="26"/>
              </w:rPr>
              <w:t>?</w:t>
            </w:r>
            <w:r>
              <w:rPr>
                <w:sz w:val="26"/>
                <w:szCs w:val="26"/>
              </w:rPr>
              <w:t xml:space="preserve">  Both critical access and acute care hospitals are reimbursed by DRG for inpatient facility charges.  Hospitals are not required to supply the DRG code; the DRG </w:t>
            </w:r>
            <w:bookmarkStart w:id="0" w:name="_GoBack"/>
            <w:bookmarkEnd w:id="0"/>
            <w:r>
              <w:rPr>
                <w:sz w:val="26"/>
                <w:szCs w:val="26"/>
              </w:rPr>
              <w:t>code is not a required billing element.</w:t>
            </w:r>
          </w:p>
        </w:tc>
      </w:tr>
      <w:tr w:rsidR="000A63CD" w:rsidTr="0083334E">
        <w:trPr>
          <w:trHeight w:val="720"/>
        </w:trPr>
        <w:tc>
          <w:tcPr>
            <w:tcW w:w="1721" w:type="dxa"/>
            <w:vAlign w:val="center"/>
          </w:tcPr>
          <w:p w:rsidR="000A63CD" w:rsidRDefault="00D71109" w:rsidP="0021310A">
            <w:pPr>
              <w:jc w:val="center"/>
              <w:rPr>
                <w:sz w:val="26"/>
                <w:szCs w:val="26"/>
              </w:rPr>
            </w:pPr>
            <w:r>
              <w:rPr>
                <w:sz w:val="26"/>
                <w:szCs w:val="26"/>
              </w:rPr>
              <w:lastRenderedPageBreak/>
              <w:t>10</w:t>
            </w:r>
          </w:p>
        </w:tc>
        <w:tc>
          <w:tcPr>
            <w:tcW w:w="1581" w:type="dxa"/>
            <w:vAlign w:val="center"/>
          </w:tcPr>
          <w:p w:rsidR="000A63CD" w:rsidRPr="005874C9" w:rsidRDefault="000A63CD" w:rsidP="00D61634">
            <w:pPr>
              <w:jc w:val="center"/>
              <w:rPr>
                <w:sz w:val="26"/>
                <w:szCs w:val="26"/>
              </w:rPr>
            </w:pPr>
            <w:r>
              <w:rPr>
                <w:sz w:val="26"/>
                <w:szCs w:val="26"/>
              </w:rPr>
              <w:t>F</w:t>
            </w:r>
          </w:p>
        </w:tc>
        <w:tc>
          <w:tcPr>
            <w:tcW w:w="9874" w:type="dxa"/>
            <w:vAlign w:val="center"/>
          </w:tcPr>
          <w:p w:rsidR="000A63CD" w:rsidRPr="005874C9" w:rsidRDefault="000A63CD" w:rsidP="00074D74">
            <w:pPr>
              <w:rPr>
                <w:sz w:val="26"/>
                <w:szCs w:val="26"/>
              </w:rPr>
            </w:pPr>
            <w:r w:rsidRPr="005874C9">
              <w:rPr>
                <w:sz w:val="26"/>
                <w:szCs w:val="26"/>
              </w:rPr>
              <w:t>Insured employers are permitted to pay medical bills up to the amount of their deductible?</w:t>
            </w:r>
            <w:r>
              <w:rPr>
                <w:sz w:val="26"/>
                <w:szCs w:val="26"/>
              </w:rPr>
              <w:t xml:space="preserve">  </w:t>
            </w:r>
            <w:r w:rsidRPr="00AF44D0">
              <w:rPr>
                <w:sz w:val="26"/>
                <w:szCs w:val="26"/>
              </w:rPr>
              <w:t xml:space="preserve">All claims must be reported by the employer to the insurer.  </w:t>
            </w:r>
            <w:r>
              <w:rPr>
                <w:sz w:val="26"/>
                <w:szCs w:val="26"/>
              </w:rPr>
              <w:t>The carrier that wrote the policy is responsible from the first dollar regardless of any deductibles on the policy.</w:t>
            </w:r>
          </w:p>
        </w:tc>
      </w:tr>
      <w:tr w:rsidR="000A63CD" w:rsidTr="0083334E">
        <w:trPr>
          <w:trHeight w:val="720"/>
        </w:trPr>
        <w:tc>
          <w:tcPr>
            <w:tcW w:w="1721" w:type="dxa"/>
            <w:vAlign w:val="center"/>
          </w:tcPr>
          <w:p w:rsidR="000A63CD" w:rsidRDefault="00D71109" w:rsidP="0021310A">
            <w:pPr>
              <w:jc w:val="center"/>
              <w:rPr>
                <w:sz w:val="26"/>
                <w:szCs w:val="26"/>
              </w:rPr>
            </w:pPr>
            <w:r>
              <w:rPr>
                <w:sz w:val="26"/>
                <w:szCs w:val="26"/>
              </w:rPr>
              <w:t>11</w:t>
            </w:r>
          </w:p>
        </w:tc>
        <w:tc>
          <w:tcPr>
            <w:tcW w:w="1581" w:type="dxa"/>
            <w:vAlign w:val="center"/>
          </w:tcPr>
          <w:p w:rsidR="000A63CD" w:rsidRPr="005874C9" w:rsidRDefault="000A63CD" w:rsidP="00D61634">
            <w:pPr>
              <w:jc w:val="center"/>
              <w:rPr>
                <w:sz w:val="26"/>
                <w:szCs w:val="26"/>
              </w:rPr>
            </w:pPr>
            <w:r>
              <w:rPr>
                <w:sz w:val="26"/>
                <w:szCs w:val="26"/>
              </w:rPr>
              <w:t>T and F</w:t>
            </w:r>
          </w:p>
        </w:tc>
        <w:tc>
          <w:tcPr>
            <w:tcW w:w="9874" w:type="dxa"/>
            <w:vAlign w:val="center"/>
          </w:tcPr>
          <w:p w:rsidR="000A63CD" w:rsidRPr="005874C9" w:rsidRDefault="000A63CD" w:rsidP="00573CF6">
            <w:pPr>
              <w:rPr>
                <w:sz w:val="26"/>
                <w:szCs w:val="26"/>
              </w:rPr>
            </w:pPr>
            <w:r>
              <w:rPr>
                <w:sz w:val="26"/>
                <w:szCs w:val="26"/>
              </w:rPr>
              <w:t xml:space="preserve">The Board’s website provides the mailing address for each of the claim administrators?  The Board’s website contains a list of self-insured employers along with the name and address of the claim administrator.  The website also contains a link to NCCI’s insurance coverage verification site.  Unfortunately, the insurance coverage verification site results only provide the name of the insurance coverage provider and the policy number.  The site does not contain any claim administrator information.  Claim administrator information must be obtained from the employer, insurer, or the Board. </w:t>
            </w:r>
          </w:p>
        </w:tc>
      </w:tr>
      <w:tr w:rsidR="000A63CD" w:rsidTr="0083334E">
        <w:trPr>
          <w:trHeight w:val="720"/>
        </w:trPr>
        <w:tc>
          <w:tcPr>
            <w:tcW w:w="1721" w:type="dxa"/>
            <w:vAlign w:val="center"/>
          </w:tcPr>
          <w:p w:rsidR="000A63CD" w:rsidRDefault="00D71109" w:rsidP="0021310A">
            <w:pPr>
              <w:jc w:val="center"/>
              <w:rPr>
                <w:sz w:val="26"/>
                <w:szCs w:val="26"/>
              </w:rPr>
            </w:pPr>
            <w:r>
              <w:rPr>
                <w:sz w:val="26"/>
                <w:szCs w:val="26"/>
              </w:rPr>
              <w:t>12</w:t>
            </w:r>
          </w:p>
        </w:tc>
        <w:tc>
          <w:tcPr>
            <w:tcW w:w="1581" w:type="dxa"/>
            <w:vAlign w:val="center"/>
          </w:tcPr>
          <w:p w:rsidR="000A63CD" w:rsidRPr="005874C9" w:rsidRDefault="000A63CD" w:rsidP="00D61634">
            <w:pPr>
              <w:jc w:val="center"/>
              <w:rPr>
                <w:sz w:val="26"/>
                <w:szCs w:val="26"/>
              </w:rPr>
            </w:pPr>
            <w:r>
              <w:rPr>
                <w:sz w:val="26"/>
                <w:szCs w:val="26"/>
              </w:rPr>
              <w:t>T and F</w:t>
            </w:r>
          </w:p>
        </w:tc>
        <w:tc>
          <w:tcPr>
            <w:tcW w:w="9874" w:type="dxa"/>
            <w:vAlign w:val="center"/>
          </w:tcPr>
          <w:p w:rsidR="000A63CD" w:rsidRPr="005874C9" w:rsidRDefault="000A63CD" w:rsidP="00826618">
            <w:pPr>
              <w:rPr>
                <w:sz w:val="26"/>
                <w:szCs w:val="26"/>
              </w:rPr>
            </w:pPr>
            <w:r>
              <w:rPr>
                <w:sz w:val="26"/>
                <w:szCs w:val="26"/>
              </w:rPr>
              <w:t xml:space="preserve">Payment of medical bills is due within 30 days if bills are sent via certified mail?  Per Chapter 5, </w:t>
            </w:r>
            <w:r w:rsidRPr="00A05F3D">
              <w:rPr>
                <w:sz w:val="26"/>
                <w:szCs w:val="26"/>
              </w:rPr>
              <w:t>§</w:t>
            </w:r>
            <w:r>
              <w:rPr>
                <w:sz w:val="26"/>
                <w:szCs w:val="26"/>
              </w:rPr>
              <w:t xml:space="preserve"> 1.07(2), medical bills must be paid or denied within 30 day of a properly submitted bill.  When medical bills are sent via certified mail and not paid or denied within 30 days receipt, the provider may receive accrued penalties up to $50/day for each day over 30 days up to a maximum of $1,500 per Act § 205(4).</w:t>
            </w:r>
          </w:p>
        </w:tc>
      </w:tr>
      <w:tr w:rsidR="000A63CD" w:rsidTr="0083334E">
        <w:trPr>
          <w:trHeight w:val="720"/>
        </w:trPr>
        <w:tc>
          <w:tcPr>
            <w:tcW w:w="1721" w:type="dxa"/>
            <w:vAlign w:val="center"/>
          </w:tcPr>
          <w:p w:rsidR="000A63CD" w:rsidRDefault="00D71109" w:rsidP="0021310A">
            <w:pPr>
              <w:jc w:val="center"/>
              <w:rPr>
                <w:sz w:val="26"/>
                <w:szCs w:val="26"/>
              </w:rPr>
            </w:pPr>
            <w:r>
              <w:rPr>
                <w:sz w:val="26"/>
                <w:szCs w:val="26"/>
              </w:rPr>
              <w:t>13</w:t>
            </w:r>
          </w:p>
        </w:tc>
        <w:tc>
          <w:tcPr>
            <w:tcW w:w="1581" w:type="dxa"/>
            <w:vAlign w:val="center"/>
          </w:tcPr>
          <w:p w:rsidR="000A63CD" w:rsidRPr="005874C9" w:rsidRDefault="000A63CD" w:rsidP="00D61634">
            <w:pPr>
              <w:jc w:val="center"/>
              <w:rPr>
                <w:sz w:val="26"/>
                <w:szCs w:val="26"/>
              </w:rPr>
            </w:pPr>
            <w:r>
              <w:rPr>
                <w:sz w:val="26"/>
                <w:szCs w:val="26"/>
              </w:rPr>
              <w:t>F</w:t>
            </w:r>
          </w:p>
        </w:tc>
        <w:tc>
          <w:tcPr>
            <w:tcW w:w="9874" w:type="dxa"/>
            <w:vAlign w:val="center"/>
          </w:tcPr>
          <w:p w:rsidR="000A63CD" w:rsidRPr="005874C9" w:rsidRDefault="000A63CD" w:rsidP="00074D74">
            <w:pPr>
              <w:rPr>
                <w:sz w:val="26"/>
                <w:szCs w:val="26"/>
              </w:rPr>
            </w:pPr>
            <w:r>
              <w:rPr>
                <w:sz w:val="26"/>
                <w:szCs w:val="26"/>
              </w:rPr>
              <w:t>Claim jurisdiction is determined in part by the provider’s location?  The provider’s location has no bearing on the jurisdiction of the claim.</w:t>
            </w:r>
          </w:p>
        </w:tc>
      </w:tr>
      <w:tr w:rsidR="000A63CD" w:rsidTr="0083334E">
        <w:trPr>
          <w:trHeight w:val="720"/>
        </w:trPr>
        <w:tc>
          <w:tcPr>
            <w:tcW w:w="1721" w:type="dxa"/>
            <w:vAlign w:val="center"/>
          </w:tcPr>
          <w:p w:rsidR="000A63CD" w:rsidRDefault="00D71109" w:rsidP="0021310A">
            <w:pPr>
              <w:jc w:val="center"/>
              <w:rPr>
                <w:sz w:val="26"/>
                <w:szCs w:val="26"/>
              </w:rPr>
            </w:pPr>
            <w:r>
              <w:rPr>
                <w:sz w:val="26"/>
                <w:szCs w:val="26"/>
              </w:rPr>
              <w:t>14</w:t>
            </w:r>
          </w:p>
        </w:tc>
        <w:tc>
          <w:tcPr>
            <w:tcW w:w="1581" w:type="dxa"/>
            <w:vAlign w:val="center"/>
          </w:tcPr>
          <w:p w:rsidR="000A63CD" w:rsidRPr="005874C9" w:rsidRDefault="000A63CD" w:rsidP="00D61634">
            <w:pPr>
              <w:jc w:val="center"/>
              <w:rPr>
                <w:sz w:val="26"/>
                <w:szCs w:val="26"/>
              </w:rPr>
            </w:pPr>
            <w:r>
              <w:rPr>
                <w:sz w:val="26"/>
                <w:szCs w:val="26"/>
              </w:rPr>
              <w:t>F</w:t>
            </w:r>
          </w:p>
        </w:tc>
        <w:tc>
          <w:tcPr>
            <w:tcW w:w="9874" w:type="dxa"/>
            <w:vAlign w:val="center"/>
          </w:tcPr>
          <w:p w:rsidR="000A63CD" w:rsidRPr="005874C9" w:rsidRDefault="000A63CD" w:rsidP="00A05F3D">
            <w:pPr>
              <w:rPr>
                <w:sz w:val="26"/>
                <w:szCs w:val="26"/>
              </w:rPr>
            </w:pPr>
            <w:r>
              <w:rPr>
                <w:sz w:val="26"/>
                <w:szCs w:val="26"/>
              </w:rPr>
              <w:t xml:space="preserve">The Explanation of Benefits/Review must clearly identify which charges are not being paid and why? </w:t>
            </w:r>
            <w:r w:rsidRPr="00A05F3D">
              <w:rPr>
                <w:sz w:val="26"/>
                <w:szCs w:val="26"/>
              </w:rPr>
              <w:t>EOBs/EORs are not required.  Assuming there is not a valid payment agreement to pay something other than the amount due per the</w:t>
            </w:r>
            <w:r>
              <w:rPr>
                <w:sz w:val="26"/>
                <w:szCs w:val="26"/>
              </w:rPr>
              <w:t xml:space="preserve"> fee schedule,</w:t>
            </w:r>
            <w:r w:rsidRPr="00A05F3D">
              <w:rPr>
                <w:sz w:val="26"/>
                <w:szCs w:val="26"/>
              </w:rPr>
              <w:t xml:space="preserve"> the employer/insurer must pay the bill in accordance with the </w:t>
            </w:r>
            <w:r>
              <w:rPr>
                <w:sz w:val="26"/>
                <w:szCs w:val="26"/>
              </w:rPr>
              <w:t>fee schedule</w:t>
            </w:r>
            <w:r w:rsidRPr="00A05F3D">
              <w:rPr>
                <w:sz w:val="26"/>
                <w:szCs w:val="26"/>
              </w:rPr>
              <w:t xml:space="preserve">.  If anything less than the amount due under the </w:t>
            </w:r>
            <w:r>
              <w:rPr>
                <w:sz w:val="26"/>
                <w:szCs w:val="26"/>
              </w:rPr>
              <w:t xml:space="preserve">fee schedule </w:t>
            </w:r>
            <w:r w:rsidRPr="00A05F3D">
              <w:rPr>
                <w:sz w:val="26"/>
                <w:szCs w:val="26"/>
              </w:rPr>
              <w:t>is paid, a partial denial must be filed electronically with the Board contemporaneous with the payment.  A copy of the denial/notice of controversy form must be sent to the employee, the employer and the health care provider from whom the bill originated within 24 hours after the Notice of Controversy is transmitted to the Board.</w:t>
            </w:r>
          </w:p>
        </w:tc>
      </w:tr>
      <w:tr w:rsidR="000A63CD" w:rsidTr="0083334E">
        <w:trPr>
          <w:trHeight w:val="720"/>
        </w:trPr>
        <w:tc>
          <w:tcPr>
            <w:tcW w:w="1721" w:type="dxa"/>
            <w:vAlign w:val="center"/>
          </w:tcPr>
          <w:p w:rsidR="000A63CD" w:rsidRDefault="00D71109" w:rsidP="00D61634">
            <w:pPr>
              <w:jc w:val="center"/>
              <w:rPr>
                <w:sz w:val="26"/>
                <w:szCs w:val="26"/>
              </w:rPr>
            </w:pPr>
            <w:r>
              <w:rPr>
                <w:sz w:val="26"/>
                <w:szCs w:val="26"/>
              </w:rPr>
              <w:t>15</w:t>
            </w:r>
          </w:p>
        </w:tc>
        <w:tc>
          <w:tcPr>
            <w:tcW w:w="1581" w:type="dxa"/>
            <w:vAlign w:val="center"/>
          </w:tcPr>
          <w:p w:rsidR="000A63CD" w:rsidRPr="005874C9" w:rsidRDefault="000A63CD" w:rsidP="00D61634">
            <w:pPr>
              <w:jc w:val="center"/>
              <w:rPr>
                <w:sz w:val="26"/>
                <w:szCs w:val="26"/>
              </w:rPr>
            </w:pPr>
            <w:r>
              <w:rPr>
                <w:sz w:val="26"/>
                <w:szCs w:val="26"/>
              </w:rPr>
              <w:t>F</w:t>
            </w:r>
          </w:p>
        </w:tc>
        <w:tc>
          <w:tcPr>
            <w:tcW w:w="9874" w:type="dxa"/>
            <w:vAlign w:val="center"/>
          </w:tcPr>
          <w:p w:rsidR="000A63CD" w:rsidRPr="005874C9" w:rsidRDefault="000A63CD" w:rsidP="00074D74">
            <w:pPr>
              <w:rPr>
                <w:sz w:val="26"/>
                <w:szCs w:val="26"/>
              </w:rPr>
            </w:pPr>
            <w:r>
              <w:rPr>
                <w:sz w:val="26"/>
                <w:szCs w:val="26"/>
              </w:rPr>
              <w:t xml:space="preserve">Overpayments must be returned to the </w:t>
            </w:r>
            <w:proofErr w:type="spellStart"/>
            <w:r>
              <w:rPr>
                <w:sz w:val="26"/>
                <w:szCs w:val="26"/>
              </w:rPr>
              <w:t>payor</w:t>
            </w:r>
            <w:proofErr w:type="spellEnd"/>
            <w:r>
              <w:rPr>
                <w:sz w:val="26"/>
                <w:szCs w:val="26"/>
              </w:rPr>
              <w:t xml:space="preserve"> within 90 days? </w:t>
            </w:r>
            <w:r w:rsidRPr="00A05F3D">
              <w:rPr>
                <w:sz w:val="26"/>
                <w:szCs w:val="26"/>
              </w:rPr>
              <w:t xml:space="preserve">Per Workers’ Compensation Board Decision No. 96-0: Donald C. Pritchard, Jr. V. S.D. Warren Company And Sedgwick James Of Northern New England, “The present Act provides this employer with no mechanism to recover what the employer regards as an overpayment of compensation.”  </w:t>
            </w:r>
            <w:r>
              <w:rPr>
                <w:sz w:val="26"/>
                <w:szCs w:val="26"/>
              </w:rPr>
              <w:t xml:space="preserve">A </w:t>
            </w:r>
            <w:proofErr w:type="spellStart"/>
            <w:r>
              <w:rPr>
                <w:sz w:val="26"/>
                <w:szCs w:val="26"/>
              </w:rPr>
              <w:t>payor</w:t>
            </w:r>
            <w:proofErr w:type="spellEnd"/>
            <w:r>
              <w:rPr>
                <w:sz w:val="26"/>
                <w:szCs w:val="26"/>
              </w:rPr>
              <w:t xml:space="preserve"> may request a voluntary repayment.</w:t>
            </w:r>
          </w:p>
        </w:tc>
      </w:tr>
    </w:tbl>
    <w:p w:rsidR="005874C9" w:rsidRDefault="005874C9" w:rsidP="00905ACB"/>
    <w:sectPr w:rsidR="005874C9" w:rsidSect="00905ACB">
      <w:pgSz w:w="12240" w:h="15840"/>
      <w:pgMar w:top="1080" w:right="450" w:bottom="90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A1E"/>
    <w:rsid w:val="00035734"/>
    <w:rsid w:val="000A63CD"/>
    <w:rsid w:val="000C66BE"/>
    <w:rsid w:val="001750CE"/>
    <w:rsid w:val="001A2342"/>
    <w:rsid w:val="001C5555"/>
    <w:rsid w:val="00246564"/>
    <w:rsid w:val="002962A9"/>
    <w:rsid w:val="002D6D0E"/>
    <w:rsid w:val="003E6445"/>
    <w:rsid w:val="004428DF"/>
    <w:rsid w:val="00470715"/>
    <w:rsid w:val="00573CF6"/>
    <w:rsid w:val="005874C9"/>
    <w:rsid w:val="0062355A"/>
    <w:rsid w:val="00656D5C"/>
    <w:rsid w:val="007E3D62"/>
    <w:rsid w:val="00826618"/>
    <w:rsid w:val="0083334E"/>
    <w:rsid w:val="00893F44"/>
    <w:rsid w:val="008E7F04"/>
    <w:rsid w:val="00905ACB"/>
    <w:rsid w:val="0095127A"/>
    <w:rsid w:val="00972DCD"/>
    <w:rsid w:val="009A3A1E"/>
    <w:rsid w:val="009D4895"/>
    <w:rsid w:val="00A05F3D"/>
    <w:rsid w:val="00AE3489"/>
    <w:rsid w:val="00AF44D0"/>
    <w:rsid w:val="00B56BC5"/>
    <w:rsid w:val="00BB255D"/>
    <w:rsid w:val="00C7615A"/>
    <w:rsid w:val="00C95FB7"/>
    <w:rsid w:val="00D61634"/>
    <w:rsid w:val="00D71109"/>
    <w:rsid w:val="00DF4143"/>
    <w:rsid w:val="00EB7341"/>
    <w:rsid w:val="00F8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7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4D2D1-0E13-4B98-BB80-461A7A33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Barriere, Kimberlee</dc:creator>
  <cp:lastModifiedBy>Barriere, Kimberlee</cp:lastModifiedBy>
  <cp:revision>10</cp:revision>
  <dcterms:created xsi:type="dcterms:W3CDTF">2018-12-13T16:48:00Z</dcterms:created>
  <dcterms:modified xsi:type="dcterms:W3CDTF">2018-12-31T19:03:00Z</dcterms:modified>
</cp:coreProperties>
</file>